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>"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 xml:space="preserve">بررسی و </w:t>
      </w:r>
      <w:bookmarkStart w:id="0" w:name="_GoBack"/>
      <w:bookmarkEnd w:id="0"/>
      <w:r>
        <w:rPr>
          <w:b/>
          <w:bCs/>
          <w:sz w:val="32"/>
          <w:szCs w:val="32"/>
          <w:u w:val="single"/>
          <w:rtl/>
          <w:lang w:bidi="fa-IR"/>
        </w:rPr>
        <w:t>ارزیابی وضع تغذيه" به ارزش 3 واحد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( یک واحد نظری و دو واحد عملی)</w:t>
      </w:r>
    </w:p>
    <w:p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>(درس مشترک با خانم دکتر عباسعلیزاد فرهنگی )</w:t>
      </w:r>
    </w:p>
    <w:p>
      <w:pPr>
        <w:bidi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4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ارزیابی وضع تغذیه              </w:t>
      </w:r>
      <w:r>
        <w:rPr>
          <w:b/>
          <w:bCs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رشته و مقطع تحصیلی : کارشناسی ارشد علوم بهداشتی در تغذیه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دوم                 روز و ساعت برگزاری : پنج شنبه ساعت 10-8                                       محل برگزاری: کلاس تحصیلات تکمیلی                     تعداد و نوع واحد ( نظری / عملی ) : نظری  نیم واحد و عملی یک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sz w:val="20"/>
          <w:szCs w:val="22"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اهمیت وضعیت تغذیه در ارتباط با سلامتی و بیماری و اهداف آن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ارزيابي وضعيت تغذيه در سطح جامعه و زیر گروههای جمعیتی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– دامنه و اصول ارزیابی های تن سنجي در زیر گروههای جمعیتی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تعريف بررسي و ارزیابی های مستقیم و غیر مستقیم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آشنائی با مفاهیم روائی- پایائی - دقت – درستي و تکرارپذیری در اندازه گيريها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ارزیابی روائی- پایائی و تکرارپذیری در اندازه گيريهای تن سنجی کودکان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 هاي تن سنجي در كودكان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نحوه ترسيم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و تفسیرهای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نمودار هاي رشد (وزن براي سن، قد براي سن و وزن براي قد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و نمایه توده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بدن برای سن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)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با انواع ملاکها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(صدکها- درصد از میانه و امتیاز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Z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نحوه طبقه بندی هر یک)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تفسير شاخص ها و نمودارها در تعيين وضع تغذيه کودکان</w:t>
            </w:r>
          </w:p>
          <w:p>
            <w:pPr>
              <w:bidi/>
              <w:ind w:left="360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اهمیت ارزیابیهای تن سنجی و کاربرد آن در بزرگسالان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ارزیابی روائی- پایائی و تکرارپذیری در اندازه گيريهای تن سنجی بزرگسالان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 اندازه ها و شاخصهای چاقی و چاقی شکمی و مرکزی و نیزسوء تغذیه دربزرگسالان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تفسير شاخص ها در تعيين وضع تغذيه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سوم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انواع ارزیابیها ی کمی مصرف غذائی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ی بر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اصول و دامنه کاربرد هر یک از روشهای مختلف ارزیابی مصرف مواد غذائی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نحوه ارزیابی روائی- پایائی و تکرارپذیری در انواع شیوه های ارزیابی مصرف مواد غذائی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روشهای ارزیابی های مصرف موادغذائی شامل تاريخچه تغذيه اي و بررسي عادات غذايي، آگاهيهاي تغذيه اي ، بررسي 24-ساعت يادآمد غذايي، بسامد خوراك، يادداشت غذايي، مشاهده مستقيم، و ثبت غذايي با روش توزين ، مزایا و محدودیتها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بررسی چند مقاله برای ارزیابی روائی و پایائی در بررسیهای مصرف مواد غذائی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با شاخصهای کیفی مواد غذائی شامل کیفیت غذائی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(DQI)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- تنوع غذائی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(FVS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DDS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I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خوب غذا خوردن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HEI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و......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تفسیر داده های مصرف غذائی در قالب مطالعات منتشره و مزایا و محدودیتهای هر یک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آشنائی با نحوه طراحی و اجرای یک بررسی وضع تغذیه در زیر گروه کوچکی از جامعه- نحوه سنجش روائی و پایائی در ابزار مورد استفاده- جمع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آوری داده های مورد نیاز- تجزیه و تحلیل داده های جمعآوری شده و تفسیر آنها بر اساس استانداردها و طبقه بندیهای به روز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bidi="fa-IR"/>
              </w:rPr>
              <w:t>up date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برای هر شاخص مورد نظر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>شيوه امتحان:</w:t>
      </w:r>
    </w:p>
    <w:p>
      <w:pPr>
        <w:tabs>
          <w:tab w:val="num" w:pos="2880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الف ) آزمون </w:t>
      </w:r>
      <w:r>
        <w:rPr>
          <w:rFonts w:ascii="Arial" w:hAnsi="Arial" w:cs="Arial" w:hint="cs"/>
          <w:sz w:val="22"/>
          <w:szCs w:val="22"/>
          <w:rtl/>
          <w:lang w:bidi="fa-IR"/>
        </w:rPr>
        <w:t>تشریحی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5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ب ) </w:t>
      </w:r>
      <w:r>
        <w:rPr>
          <w:rFonts w:ascii="Arial" w:hAnsi="Arial" w:cs="Arial" w:hint="cs"/>
          <w:sz w:val="22"/>
          <w:szCs w:val="22"/>
          <w:rtl/>
          <w:lang w:bidi="fa-IR"/>
        </w:rPr>
        <w:t>انجام و گزارش یک پروژه ارزیابی وضع تغذیه در گروههای آسیب پذیر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15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ind w:left="360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ind w:left="3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 xml:space="preserve">منابع: </w:t>
      </w:r>
    </w:p>
    <w:p>
      <w:pPr>
        <w:rPr>
          <w:rFonts w:cs="Lotus"/>
          <w:lang w:bidi="fa-IR"/>
        </w:rPr>
      </w:pPr>
      <w:r>
        <w:rPr>
          <w:rFonts w:cs="Lotus"/>
          <w:sz w:val="28"/>
          <w:szCs w:val="28"/>
          <w:lang w:bidi="fa-IR"/>
        </w:rPr>
        <w:t>1</w:t>
      </w:r>
      <w:r>
        <w:rPr>
          <w:rFonts w:cs="Lotus"/>
          <w:lang w:bidi="fa-IR"/>
        </w:rPr>
        <w:t>) Mahan: Kraus’s Food, Nutrition and Diet Therapy, 2017</w:t>
      </w:r>
    </w:p>
    <w:p>
      <w:pPr>
        <w:bidi/>
        <w:ind w:left="360"/>
        <w:jc w:val="right"/>
        <w:rPr>
          <w:rFonts w:cs="Lotus"/>
          <w:lang w:bidi="fa-IR"/>
        </w:rPr>
      </w:pPr>
      <w:r>
        <w:rPr>
          <w:rFonts w:cs="Lotus"/>
          <w:lang w:bidi="fa-IR"/>
        </w:rPr>
        <w:t xml:space="preserve">2) </w:t>
      </w:r>
      <w:proofErr w:type="spellStart"/>
      <w:r>
        <w:rPr>
          <w:rFonts w:cs="Lotus"/>
          <w:lang w:bidi="fa-IR"/>
        </w:rPr>
        <w:t>Fidanza</w:t>
      </w:r>
      <w:proofErr w:type="spellEnd"/>
      <w:r>
        <w:rPr>
          <w:rFonts w:cs="Lotus"/>
          <w:lang w:bidi="fa-IR"/>
        </w:rPr>
        <w:t xml:space="preserve">: Nutritional Status Assessment </w:t>
      </w:r>
      <w:r>
        <w:rPr>
          <w:rFonts w:cs="Lotus" w:hint="cs"/>
          <w:rtl/>
          <w:lang w:bidi="fa-IR"/>
        </w:rPr>
        <w:t>ّّ</w:t>
      </w:r>
    </w:p>
    <w:p>
      <w:pPr>
        <w:bidi/>
        <w:ind w:left="360"/>
        <w:jc w:val="right"/>
        <w:rPr>
          <w:rFonts w:cs="Lotus"/>
          <w:lang w:bidi="fa-IR"/>
        </w:rPr>
      </w:pPr>
      <w:r>
        <w:rPr>
          <w:rFonts w:cs="Lotus"/>
          <w:lang w:bidi="fa-IR"/>
        </w:rPr>
        <w:t>3) James et al: Human Nutrition and Dietetics, 2000</w:t>
      </w:r>
    </w:p>
    <w:p>
      <w:pPr>
        <w:bidi/>
        <w:ind w:left="360"/>
        <w:jc w:val="right"/>
        <w:rPr>
          <w:rFonts w:cs="Lotus"/>
          <w:lang w:bidi="fa-IR"/>
        </w:rPr>
      </w:pPr>
      <w:r>
        <w:rPr>
          <w:rFonts w:cs="Lotus"/>
          <w:lang w:bidi="fa-IR"/>
        </w:rPr>
        <w:t>4) Gibson: Principles of nutritional Status Assessment</w:t>
      </w:r>
    </w:p>
    <w:p>
      <w:pPr>
        <w:bidi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5) </w:t>
      </w:r>
      <w:r>
        <w:rPr>
          <w:rFonts w:cs="B Lotus" w:hint="cs"/>
          <w:b/>
          <w:bCs/>
          <w:rtl/>
          <w:lang w:bidi="fa-IR"/>
        </w:rPr>
        <w:t>ارزیابی وضع تغذیه در پزشکی بالینی و بهداشت همگانی</w:t>
      </w:r>
    </w:p>
    <w:p>
      <w:pPr>
        <w:bidi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6) </w:t>
      </w:r>
      <w:r>
        <w:rPr>
          <w:rFonts w:cs="B Lotus" w:hint="cs"/>
          <w:b/>
          <w:bCs/>
          <w:rtl/>
          <w:lang w:bidi="fa-IR"/>
        </w:rPr>
        <w:t>روش شناسی تن سنجی- بالینی و آزمایشگاهی</w:t>
      </w:r>
      <w:r>
        <w:rPr>
          <w:rFonts w:cs="B Lotus" w:hint="cs"/>
          <w:rtl/>
          <w:lang w:bidi="fa-IR"/>
        </w:rPr>
        <w:t>. ترجمه: تیرنگ نیستانی- گیتی ستوده و مداح</w:t>
      </w:r>
      <w:r>
        <w:rPr>
          <w:rFonts w:cs="B Lotus" w:hint="cs"/>
          <w:sz w:val="28"/>
          <w:szCs w:val="28"/>
          <w:rtl/>
          <w:lang w:bidi="fa-IR"/>
        </w:rPr>
        <w:t>- انتشارات دانشگاه تهران</w:t>
      </w:r>
    </w:p>
    <w:p>
      <w:pPr>
        <w:bidi/>
        <w:ind w:left="360"/>
        <w:jc w:val="right"/>
        <w:rPr>
          <w:rFonts w:cs="Lotus"/>
          <w:lang w:bidi="fa-IR"/>
        </w:rPr>
      </w:pPr>
    </w:p>
    <w:p>
      <w:pPr>
        <w:bidi/>
        <w:ind w:left="360"/>
        <w:rPr>
          <w:rFonts w:cs="B Lotus"/>
          <w:rtl/>
          <w:lang w:bidi="fa-IR"/>
        </w:rPr>
      </w:pPr>
    </w:p>
    <w:p>
      <w:pPr>
        <w:bidi/>
      </w:pPr>
    </w:p>
    <w:sectPr>
      <w:pgSz w:w="11907" w:h="16840" w:code="9"/>
      <w:pgMar w:top="1440" w:right="1440" w:bottom="1440" w:left="144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C31E3-146A-4C85-B237-734377A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2019-08-25T09:04:00Z</dcterms:created>
  <dcterms:modified xsi:type="dcterms:W3CDTF">2019-08-26T04:07:00Z</dcterms:modified>
</cp:coreProperties>
</file>